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2"/>
      </w:pPr>
      <w:r>
        <w:t>Checkliste 2: Chancen und Risiken feststellen</w:t>
      </w:r>
    </w:p>
    <w:p>
      <w:r/>
    </w:p>
    <w:tbl>
      <w:tblPr>
        <w:tblStyle w:val="PlainTable3"/>
        <w:name w:val="Tabelle1"/>
        <w:tabOrder w:val="0"/>
        <w:jc w:val="left"/>
        <w:tblInd w:w="0" w:type="dxa"/>
        <w:tblW w:w="10197" w:type="dxa"/>
        <w:tblLook w:val="04A0" w:firstRow="1" w:lastRow="0" w:firstColumn="1" w:lastColumn="0" w:noHBand="0" w:noVBand="1"/>
      </w:tblPr>
      <w:tblGrid>
        <w:gridCol w:w="1985"/>
        <w:gridCol w:w="2971"/>
        <w:gridCol w:w="2504"/>
        <w:gridCol w:w="2737"/>
      </w:tblGrid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Aspekt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Risiko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Chance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Balance</w:t>
            </w:r>
          </w:p>
        </w:tc>
      </w:tr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Kosten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Digitale Lösungen sind häufig (nicht immer) mit zusätzlichen Kosten verbunden (z. B. eine Videokonferenz-Tool, eine Software, neue Hardware, ein externer Dienstleister) 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Durch digitale Lösungen können Kosten reduziert werden, bspw. kürzere Bearbeitungszeiten, geringere Reisekosten.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Kosten müssen genau kalkuliert, Einsparungen und Nutzen müssen miteinander abgewogen werden</w:t>
            </w:r>
          </w:p>
        </w:tc>
      </w:tr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Zugang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Zu prüfen ist, ob alle verbandsinternen Akteure, Adressaten und geplanten Nutzenden über die technischen Voraussetzungen (PC, Smartphone, Internetzugang etc.) verfügen.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Für manche Adressaten und geplanten Nutzenden bestehen weniger Barrieren, wenn sie z.B. nicht reisen müssen.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Zu prüfen ist, für wen die Teilhabe schwieriger wird und ggfls. Alternativen finden. </w:t>
            </w:r>
          </w:p>
        </w:tc>
      </w:tr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Notwendige Kompetenzen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Manche digitale Technik und deren Nutzung ist anspruchsvoll und setzt Kompetenzen voraus. 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Viele Techniken erleichtern Arbeitsschritte und können erlernt werden. 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Zu prüfen ist, ob es niedrigschwellige Lösungen gibt, Unterstützungen für die Überwindung der Schwelle bieten, durch Fortbildungen neues Wissen und neue Kompetenzen erwerben.</w:t>
            </w:r>
          </w:p>
        </w:tc>
      </w:tr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Datenschutz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Der Datenschutz ist häufig durch digitale Medien komplizierter, v. a., wenn internetbasierte Dienste genutzt werden: hierbei werden personenbezogene Daten auf Servern (zwischen-) gespeichert, auf die die Nutzenden keinen Zugriff haben. 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Die Auseinandersetzung mit und die Sensibilisierung für Fragen des Datenschutzes wird durch digitale Medien befördert, hier lassen sich Anregungen für die analoge Welt finden.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Beratung hinzuziehen, Informationen über Dienste einholen, Datenschutz und Zugangsbarrieren abwägen.*)</w:t>
            </w:r>
          </w:p>
        </w:tc>
      </w:tr>
      <w:tr>
        <w:trPr>
          <w:cantSplit w:val="0"/>
          <w:trHeight w:val="0" w:hRule="auto"/>
        </w:trPr>
        <w:tc>
          <w:tcPr>
            <w:tcW w:w="1985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Kontrolle</w:t>
            </w:r>
          </w:p>
        </w:tc>
        <w:tc>
          <w:tcPr>
            <w:tcW w:w="2971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Digitale Lösungen erhöhen die Komplexität, indem neue Bereiche mit eigensinnigen Aktivitäten und Ergebnissen entstehen können, deren Qualität schwerer zu sichern ist.  </w:t>
            </w:r>
          </w:p>
        </w:tc>
        <w:tc>
          <w:tcPr>
            <w:tcW w:w="2504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>Digital basierte Aktivitäten und Ergebnisse bewirken, dass eine Organisation spontan und flexibel agieren kann.</w:t>
            </w:r>
          </w:p>
        </w:tc>
        <w:tc>
          <w:tcPr>
            <w:tcW w:w="2737" w:type="dxa"/>
            <w:tmTcPr id="1631271201" protected="0"/>
          </w:tcPr>
          <w:p>
            <w:pP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</w:pPr>
            <w:r>
              <w:rPr>
                <w:rFonts w:ascii="Source Sans Pro Semibold" w:hAnsi="Source Sans Pro Semibold" w:eastAsia="Source Sans Pro Semibold" w:cs="Source Sans Pro Semibold"/>
                <w:sz w:val="24"/>
                <w:szCs w:val="24"/>
              </w:rPr>
              <w:t xml:space="preserve">Für digital organisierte Arbeitsbereiche sind Qualitätskriterien festzulegen und Verantwortlichkeiten für deren Umsetzung und Anpassung. </w:t>
            </w:r>
          </w:p>
        </w:tc>
      </w:tr>
    </w:tbl>
    <w:p>
      <w:pPr>
        <w:rPr>
          <w:sz w:val="14"/>
          <w:szCs w:val="14"/>
        </w:rPr>
      </w:pPr>
      <w:r>
        <w:rPr>
          <w:sz w:val="14"/>
          <w:szCs w:val="14"/>
        </w:rPr>
        <w:t xml:space="preserve">basierend auf der BAG Veröffentlichung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850" w:top="1134" w:right="850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Trebuchet MS">
    <w:panose1 w:val="020B0603020202020204"/>
    <w:charset w:val="00"/>
    <w:family w:val="swiss"/>
    <w:pitch w:val="default"/>
  </w:font>
  <w:font w:name="Source Sans Pro Semibold">
    <w:panose1 w:val="020B0603030403020204"/>
    <w:charset w:val="00"/>
    <w:family w:val="swiss"/>
    <w:pitch w:val="default"/>
  </w:font>
  <w:font w:name="Source Serif Pro">
    <w:panose1 w:val="02040603050405020204"/>
    <w:charset w:val="00"/>
    <w:family w:val="roman"/>
    <w:pitch w:val="default"/>
  </w:font>
  <w:font w:name="Source Serif Pro Black">
    <w:panose1 w:val="02040903050405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1"/>
    <w:tmLastPosCaret>
      <w:tmLastPosPgfIdx w:val="0"/>
      <w:tmLastPosIdx w:val="88"/>
    </w:tmLastPosCaret>
    <w:tmLastPosAnchor>
      <w:tmLastPosPgfIdx w:val="0"/>
      <w:tmLastPosIdx w:val="0"/>
    </w:tmLastPosAnchor>
    <w:tmLastPosTblRect w:left="0" w:top="0" w:right="0" w:bottom="0"/>
  </w:tmLastPos>
  <w:tmAppRevision w:date="1631271201" w:val="982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kern w:val="1"/>
        <w:sz w:val="22"/>
        <w:szCs w:val="22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nwCell"/>
    <w:tblStylePr w:type="neCell"/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1677721856, 0, 15921906"/>
      </w:tcPr>
    </w:tblStylePr>
    <w:tblStylePr w:type="band1Horz">
      <w:tcPr>
        <w:shd w:val="solid" w:color="F2F2F2" tmshd="1677721856, 0, 1592190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kern w:val="1"/>
        <w:sz w:val="22"/>
        <w:szCs w:val="22"/>
        <w:lang w:val="de-d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nwCell"/>
    <w:tblStylePr w:type="neCell"/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1677721856, 0, 15921906"/>
      </w:tcPr>
    </w:tblStylePr>
    <w:tblStylePr w:type="band1Horz">
      <w:tcPr>
        <w:shd w:val="solid" w:color="F2F2F2" tmshd="1677721856, 0, 1592190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2021-09-06T10:28:41Z</dcterms:created>
  <dcterms:modified xsi:type="dcterms:W3CDTF">2021-09-10T10:53:21Z</dcterms:modified>
</cp:coreProperties>
</file>